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D" w:rsidRDefault="007E461D" w:rsidP="007E461D">
      <w:pPr>
        <w:jc w:val="both"/>
      </w:pPr>
      <w:r>
        <w:tab/>
      </w:r>
      <w:r w:rsidR="00D22785">
        <w:t>A partir de l’étude de cas « Migrer du Maroc à l’Espagne », le chapitre sur mes mobilités humaines  nous a permis de travailler les itinéraires et les causes des migrations de travail à l’échelle mondiale mais aussi d’aborder  les  rejets et suspicions dont ces hommes, puisqu’il s’agit avant tout de migrations masculines au départ, sont les victimes.  Peut-on appliquer   cette grille de lecture aux migrations passées ? L’exemple des « Espagnols  de l’Auvergne et du Limousin du XVI</w:t>
      </w:r>
      <w:r>
        <w:t>I</w:t>
      </w:r>
      <w:r w:rsidR="00D22785">
        <w:t xml:space="preserve">° au </w:t>
      </w:r>
      <w:r>
        <w:t xml:space="preserve">XIX° » nous fournira peut-être une réponse. C’est l’objet de la recherche menée par le professeur d’histoire moderne à Clermont-Ferrand  Abel </w:t>
      </w:r>
      <w:proofErr w:type="spellStart"/>
      <w:r>
        <w:t>Poitrineau</w:t>
      </w:r>
      <w:proofErr w:type="spellEnd"/>
      <w:r>
        <w:t>.</w:t>
      </w:r>
    </w:p>
    <w:p w:rsidR="0010229C" w:rsidRPr="000C2F91" w:rsidRDefault="000C2F91" w:rsidP="000C2F91">
      <w:pPr>
        <w:jc w:val="center"/>
        <w:rPr>
          <w:b/>
        </w:rPr>
      </w:pPr>
      <w:r w:rsidRPr="000C2F91">
        <w:rPr>
          <w:b/>
        </w:rPr>
        <w:t>…………………………</w:t>
      </w:r>
    </w:p>
    <w:p w:rsidR="007E461D" w:rsidRDefault="0007086E" w:rsidP="0007086E">
      <w:pPr>
        <w:jc w:val="both"/>
      </w:pPr>
      <w:r>
        <w:tab/>
      </w:r>
      <w:r w:rsidR="007E461D">
        <w:t>Constat de départ dressé par le poète auvergnat</w:t>
      </w:r>
      <w:r>
        <w:t>,</w:t>
      </w:r>
      <w:r w:rsidR="007E461D">
        <w:t xml:space="preserve">  lui aussi « </w:t>
      </w:r>
      <w:r w:rsidR="00646761">
        <w:t>E</w:t>
      </w:r>
      <w:r w:rsidR="007E461D">
        <w:t>spagnol »</w:t>
      </w:r>
      <w:r>
        <w:t>,</w:t>
      </w:r>
      <w:r w:rsidR="007E461D">
        <w:t xml:space="preserve"> Arsène </w:t>
      </w:r>
      <w:proofErr w:type="spellStart"/>
      <w:r w:rsidR="007E461D">
        <w:t>Vermenouze</w:t>
      </w:r>
      <w:proofErr w:type="spellEnd"/>
      <w:r w:rsidR="007E461D">
        <w:t xml:space="preserve"> (1850-19</w:t>
      </w:r>
      <w:r w:rsidR="00646761">
        <w:t xml:space="preserve">10) </w:t>
      </w:r>
      <w:r w:rsidR="007E461D">
        <w:t>: « </w:t>
      </w:r>
      <w:r w:rsidR="007E461D" w:rsidRPr="0007086E">
        <w:rPr>
          <w:i/>
        </w:rPr>
        <w:t>Nous av</w:t>
      </w:r>
      <w:r w:rsidR="00646761" w:rsidRPr="0007086E">
        <w:rPr>
          <w:i/>
        </w:rPr>
        <w:t xml:space="preserve">ons tous été dans ma famille, depuis mes bisaïeuls paternels et maternels, jusqu’à mon père, mes oncles, mes frères et moi-même, de ces Auvergnats qu’on appelle encore chez nous des Espagnols. Nous avons tous suivi le grand courant –antérieur, paraît-il, au XIII°- qui a poussé </w:t>
      </w:r>
      <w:proofErr w:type="spellStart"/>
      <w:r w:rsidR="00646761" w:rsidRPr="0007086E">
        <w:rPr>
          <w:i/>
        </w:rPr>
        <w:t>Tras</w:t>
      </w:r>
      <w:proofErr w:type="spellEnd"/>
      <w:r w:rsidR="00646761" w:rsidRPr="0007086E">
        <w:rPr>
          <w:i/>
        </w:rPr>
        <w:t xml:space="preserve"> los montes</w:t>
      </w:r>
      <w:r w:rsidR="00646761">
        <w:t xml:space="preserve"> </w:t>
      </w:r>
      <w:r>
        <w:t xml:space="preserve">(= au-delà des montagnes) </w:t>
      </w:r>
      <w:r w:rsidR="00646761" w:rsidRPr="0007086E">
        <w:rPr>
          <w:i/>
        </w:rPr>
        <w:t>une bonne partie de l’arrondissement d’Aurillac et plusieurs cantons de celui de Mauriac</w:t>
      </w:r>
      <w:r w:rsidR="00646761">
        <w:t> ».</w:t>
      </w:r>
    </w:p>
    <w:p w:rsidR="0007086E" w:rsidRPr="0007086E" w:rsidRDefault="0007086E" w:rsidP="005D07E1">
      <w:pPr>
        <w:jc w:val="both"/>
        <w:rPr>
          <w:b/>
        </w:rPr>
      </w:pPr>
      <w:r>
        <w:tab/>
      </w:r>
      <w:r w:rsidRPr="0007086E">
        <w:rPr>
          <w:b/>
        </w:rPr>
        <w:t>L’</w:t>
      </w:r>
      <w:r w:rsidR="00646761" w:rsidRPr="0007086E">
        <w:rPr>
          <w:b/>
        </w:rPr>
        <w:t>ancienneté et</w:t>
      </w:r>
      <w:r>
        <w:rPr>
          <w:b/>
        </w:rPr>
        <w:t xml:space="preserve">  </w:t>
      </w:r>
      <w:r w:rsidR="00646761" w:rsidRPr="0007086E">
        <w:rPr>
          <w:b/>
        </w:rPr>
        <w:t xml:space="preserve">la persistance de cette émigration </w:t>
      </w:r>
      <w:r>
        <w:rPr>
          <w:b/>
        </w:rPr>
        <w:t xml:space="preserve"> </w:t>
      </w:r>
      <w:proofErr w:type="gramStart"/>
      <w:r w:rsidR="00646761" w:rsidRPr="0007086E">
        <w:rPr>
          <w:b/>
        </w:rPr>
        <w:t>a</w:t>
      </w:r>
      <w:proofErr w:type="gramEnd"/>
      <w:r w:rsidR="00646761" w:rsidRPr="0007086E">
        <w:rPr>
          <w:b/>
        </w:rPr>
        <w:t xml:space="preserve"> des origines </w:t>
      </w:r>
      <w:r>
        <w:rPr>
          <w:b/>
        </w:rPr>
        <w:t xml:space="preserve"> dé</w:t>
      </w:r>
      <w:r w:rsidR="00646761" w:rsidRPr="0007086E">
        <w:rPr>
          <w:b/>
        </w:rPr>
        <w:t>mographique</w:t>
      </w:r>
      <w:r>
        <w:rPr>
          <w:b/>
        </w:rPr>
        <w:t xml:space="preserve">, </w:t>
      </w:r>
      <w:r w:rsidR="00646761" w:rsidRPr="0007086E">
        <w:rPr>
          <w:b/>
        </w:rPr>
        <w:t>écon</w:t>
      </w:r>
      <w:r>
        <w:rPr>
          <w:b/>
        </w:rPr>
        <w:t>o</w:t>
      </w:r>
      <w:r w:rsidR="00646761" w:rsidRPr="0007086E">
        <w:rPr>
          <w:b/>
        </w:rPr>
        <w:t>mique</w:t>
      </w:r>
      <w:r>
        <w:rPr>
          <w:b/>
        </w:rPr>
        <w:t xml:space="preserve"> et culturelle</w:t>
      </w:r>
      <w:r w:rsidR="00646761" w:rsidRPr="0007086E">
        <w:rPr>
          <w:b/>
        </w:rPr>
        <w:t xml:space="preserve">. </w:t>
      </w:r>
    </w:p>
    <w:p w:rsidR="0007086E" w:rsidRPr="00A36EEA" w:rsidRDefault="0007086E">
      <w:pPr>
        <w:rPr>
          <w:b/>
          <w:color w:val="FF000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398145</wp:posOffset>
            </wp:positionV>
            <wp:extent cx="4591050" cy="4200525"/>
            <wp:effectExtent l="19050" t="0" r="0" b="0"/>
            <wp:wrapSquare wrapText="bothSides"/>
            <wp:docPr id="1" name="Image 1" descr="http://www.cervelleslibres.info/reconqui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rvelleslibres.info/reconquis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F91">
        <w:rPr>
          <w:b/>
          <w:color w:val="FF0000"/>
        </w:rPr>
        <w:tab/>
      </w:r>
      <w:r w:rsidR="00646761" w:rsidRPr="00A36EEA">
        <w:rPr>
          <w:b/>
          <w:color w:val="FF0000"/>
        </w:rPr>
        <w:t xml:space="preserve">Démographique. </w:t>
      </w:r>
    </w:p>
    <w:p w:rsidR="0007086E" w:rsidRDefault="00646761" w:rsidP="00732F78">
      <w:pPr>
        <w:jc w:val="both"/>
      </w:pPr>
      <w:r w:rsidRPr="0007086E">
        <w:rPr>
          <w:b/>
        </w:rPr>
        <w:t xml:space="preserve">La </w:t>
      </w:r>
      <w:proofErr w:type="spellStart"/>
      <w:r w:rsidRPr="0007086E">
        <w:rPr>
          <w:b/>
        </w:rPr>
        <w:t>Reconquista</w:t>
      </w:r>
      <w:proofErr w:type="spellEnd"/>
      <w:r>
        <w:t xml:space="preserve"> (= la reconquête) menée par les royaumes catholiques de Castille, Aragon, Navarre et Léon sur les Maures a provoqué une demande en hommes pour repeupler les espaces conquis. Ainsi s’est renforcé un courant migratoire ancien entre le centre de la France et la péninsule. </w:t>
      </w:r>
      <w:r w:rsidR="00732F78">
        <w:t xml:space="preserve">Beaucoup de français se fixent en Catalogne et pays </w:t>
      </w:r>
      <w:r w:rsidR="0042533A">
        <w:t>V</w:t>
      </w:r>
      <w:r w:rsidR="00732F78">
        <w:t>alencien…</w:t>
      </w:r>
    </w:p>
    <w:p w:rsidR="0007086E" w:rsidRDefault="0007086E"/>
    <w:p w:rsidR="00067B1C" w:rsidRDefault="00067B1C">
      <w:r w:rsidRPr="00067B1C">
        <w:t xml:space="preserve">Sur la </w:t>
      </w:r>
      <w:proofErr w:type="spellStart"/>
      <w:r w:rsidRPr="00067B1C">
        <w:t>reconquista</w:t>
      </w:r>
      <w:proofErr w:type="spellEnd"/>
      <w:r w:rsidRPr="00067B1C">
        <w:rPr>
          <w:i/>
        </w:rPr>
        <w:t> </w:t>
      </w:r>
      <w:r>
        <w:t xml:space="preserve">: </w:t>
      </w:r>
    </w:p>
    <w:p w:rsidR="000C2F91" w:rsidRDefault="000C2F91"/>
    <w:p w:rsidR="0007086E" w:rsidRDefault="002B0F79">
      <w:hyperlink r:id="rId7" w:history="1">
        <w:r w:rsidR="00067B1C" w:rsidRPr="003D21F6">
          <w:rPr>
            <w:rStyle w:val="Lienhypertexte"/>
          </w:rPr>
          <w:t>http://www.linternaute.com/histoire/reconquista/1052/a/1/1/2/</w:t>
        </w:r>
      </w:hyperlink>
    </w:p>
    <w:p w:rsidR="0007086E" w:rsidRDefault="002B0F79" w:rsidP="00E76C16">
      <w:pPr>
        <w:jc w:val="both"/>
      </w:pPr>
      <w:r w:rsidRPr="002B0F79">
        <w:rPr>
          <w:b/>
          <w:noProof/>
          <w:color w:val="FF0000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7.9pt;margin-top:80.7pt;width:0;height:16.5pt;z-index:251660288" o:connectortype="straight">
            <v:stroke endarrow="block"/>
          </v:shape>
        </w:pict>
      </w:r>
      <w:r w:rsidR="000C2F91">
        <w:rPr>
          <w:b/>
          <w:color w:val="FF0000"/>
        </w:rPr>
        <w:tab/>
      </w:r>
      <w:r w:rsidR="0007086E" w:rsidRPr="00A36EEA">
        <w:rPr>
          <w:b/>
          <w:color w:val="FF0000"/>
        </w:rPr>
        <w:t>Economique.</w:t>
      </w:r>
      <w:r w:rsidR="0007086E">
        <w:rPr>
          <w:b/>
        </w:rPr>
        <w:t xml:space="preserve">  </w:t>
      </w:r>
      <w:r w:rsidR="0007086E" w:rsidRPr="00E76C16">
        <w:rPr>
          <w:b/>
        </w:rPr>
        <w:t xml:space="preserve">On retrouve l’inégal développement des espaces </w:t>
      </w:r>
      <w:r w:rsidR="0007086E" w:rsidRPr="00067B1C">
        <w:rPr>
          <w:b/>
        </w:rPr>
        <w:t>entre une France du Massif central, pauvre et en retard et une</w:t>
      </w:r>
      <w:r w:rsidR="0007086E">
        <w:t xml:space="preserve"> </w:t>
      </w:r>
      <w:r w:rsidR="0007086E" w:rsidRPr="00067B1C">
        <w:rPr>
          <w:b/>
        </w:rPr>
        <w:t>Espagne « </w:t>
      </w:r>
      <w:r w:rsidR="0007086E" w:rsidRPr="00067B1C">
        <w:rPr>
          <w:b/>
          <w:i/>
        </w:rPr>
        <w:t>pays de l’or, des rêves</w:t>
      </w:r>
      <w:r w:rsidR="0007086E" w:rsidRPr="0042533A">
        <w:rPr>
          <w:b/>
          <w:i/>
        </w:rPr>
        <w:t>, de l’évasion</w:t>
      </w:r>
      <w:r w:rsidR="0007086E" w:rsidRPr="0042533A">
        <w:rPr>
          <w:b/>
        </w:rPr>
        <w:t>…</w:t>
      </w:r>
      <w:r w:rsidR="0007086E">
        <w:t xml:space="preserve"> » surtout  après la découverte du Nouveau Monde et la création de l’empire colonial </w:t>
      </w:r>
      <w:r w:rsidR="00732F78">
        <w:t xml:space="preserve">dont les richesses inondent la péninsule à partir du port de Séville, porte d’entrée des  </w:t>
      </w:r>
      <w:r w:rsidR="00732F78" w:rsidRPr="00067B1C">
        <w:rPr>
          <w:b/>
        </w:rPr>
        <w:t>galions chargés d’or et d’épices</w:t>
      </w:r>
      <w:r w:rsidR="00732F78">
        <w:t xml:space="preserve"> venus des Indes: c’est le « </w:t>
      </w:r>
      <w:r w:rsidR="00732F78" w:rsidRPr="00067B1C">
        <w:rPr>
          <w:b/>
        </w:rPr>
        <w:t xml:space="preserve">Siècle </w:t>
      </w:r>
      <w:r w:rsidR="00E76C16" w:rsidRPr="00067B1C">
        <w:rPr>
          <w:b/>
        </w:rPr>
        <w:t>d</w:t>
      </w:r>
      <w:r w:rsidR="00732F78" w:rsidRPr="00067B1C">
        <w:rPr>
          <w:b/>
        </w:rPr>
        <w:t>’or</w:t>
      </w:r>
      <w:r w:rsidR="00732F78">
        <w:t> ».</w:t>
      </w:r>
    </w:p>
    <w:p w:rsidR="00732F78" w:rsidRPr="00067B1C" w:rsidRDefault="00067B1C" w:rsidP="00E76C16">
      <w:pPr>
        <w:jc w:val="both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59690</wp:posOffset>
            </wp:positionV>
            <wp:extent cx="4761865" cy="1962150"/>
            <wp:effectExtent l="19050" t="0" r="635" b="0"/>
            <wp:wrapSquare wrapText="bothSides"/>
            <wp:docPr id="4" name="Imag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F78" w:rsidRPr="00E76C16">
        <w:rPr>
          <w:b/>
        </w:rPr>
        <w:t>Séville au XVI°</w:t>
      </w:r>
      <w:r w:rsidR="00E76C16">
        <w:t> :</w:t>
      </w:r>
      <w:r w:rsidRPr="00067B1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067B1C">
        <w:rPr>
          <w:bCs/>
          <w:color w:val="000000"/>
          <w:sz w:val="18"/>
          <w:szCs w:val="18"/>
          <w:shd w:val="clear" w:color="auto" w:fill="FFFFFF"/>
        </w:rPr>
        <w:t>Anonyme</w:t>
      </w:r>
      <w:r w:rsidRPr="00067B1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,</w:t>
      </w:r>
      <w:r w:rsidRPr="00067B1C">
        <w:rPr>
          <w:rStyle w:val="apple-converted-space"/>
          <w:rFonts w:ascii="Verdana" w:hAnsi="Verdana"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 w:rsidRPr="00067B1C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</w:rPr>
        <w:t xml:space="preserve">Vista de Sevilla </w:t>
      </w:r>
      <w:proofErr w:type="spellStart"/>
      <w:r w:rsidRPr="00067B1C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</w:rPr>
        <w:t>desde</w:t>
      </w:r>
      <w:proofErr w:type="spellEnd"/>
      <w:r w:rsidRPr="00067B1C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67B1C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</w:rPr>
        <w:t>Triana</w:t>
      </w:r>
      <w:proofErr w:type="spellEnd"/>
      <w:r w:rsidRPr="00067B1C">
        <w:rPr>
          <w:rFonts w:ascii="Verdana" w:hAnsi="Verdana"/>
          <w:bCs/>
          <w:i/>
          <w:iCs/>
          <w:color w:val="000000"/>
          <w:sz w:val="18"/>
          <w:szCs w:val="18"/>
          <w:shd w:val="clear" w:color="auto" w:fill="FFFFFF"/>
        </w:rPr>
        <w:t>,</w:t>
      </w:r>
      <w:r w:rsidRPr="00067B1C">
        <w:rPr>
          <w:rStyle w:val="apple-converted-space"/>
          <w:rFonts w:ascii="Verdana" w:hAnsi="Verdana"/>
          <w:bCs/>
          <w:i/>
          <w:iCs/>
          <w:color w:val="000000"/>
          <w:sz w:val="18"/>
          <w:szCs w:val="18"/>
          <w:shd w:val="clear" w:color="auto" w:fill="FFFFFF"/>
        </w:rPr>
        <w:t> </w:t>
      </w:r>
      <w:r w:rsidRPr="00067B1C">
        <w:rPr>
          <w:bCs/>
          <w:color w:val="000000"/>
          <w:sz w:val="18"/>
          <w:szCs w:val="18"/>
          <w:shd w:val="clear" w:color="auto" w:fill="FFFFFF"/>
        </w:rPr>
        <w:t>Huile sur toile, 297 x 147cm, fin du XVI</w:t>
      </w:r>
      <w:r w:rsidRPr="00067B1C">
        <w:rPr>
          <w:bCs/>
          <w:color w:val="000000"/>
          <w:sz w:val="18"/>
          <w:szCs w:val="18"/>
          <w:shd w:val="clear" w:color="auto" w:fill="FFFFFF"/>
          <w:vertAlign w:val="superscript"/>
        </w:rPr>
        <w:t>e</w:t>
      </w:r>
      <w:r w:rsidRPr="00067B1C">
        <w:rPr>
          <w:rStyle w:val="apple-converted-space"/>
          <w:bCs/>
          <w:color w:val="000000"/>
          <w:sz w:val="18"/>
          <w:szCs w:val="18"/>
          <w:shd w:val="clear" w:color="auto" w:fill="FFFFFF"/>
        </w:rPr>
        <w:t> </w:t>
      </w:r>
      <w:r w:rsidRPr="00067B1C">
        <w:rPr>
          <w:bCs/>
          <w:color w:val="000000"/>
          <w:sz w:val="18"/>
          <w:szCs w:val="18"/>
          <w:shd w:val="clear" w:color="auto" w:fill="FFFFFF"/>
        </w:rPr>
        <w:t>siècle, Musée du Prado</w:t>
      </w:r>
      <w:r w:rsidRPr="00067B1C">
        <w:rPr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067B1C" w:rsidRDefault="002B0F79" w:rsidP="00E76C16">
      <w:pPr>
        <w:jc w:val="both"/>
      </w:pPr>
      <w:r>
        <w:rPr>
          <w:noProof/>
          <w:lang w:eastAsia="fr-FR"/>
        </w:rPr>
        <w:pict>
          <v:shape id="_x0000_s1027" type="#_x0000_t32" style="position:absolute;left:0;text-align:left;margin-left:51.4pt;margin-top:69.3pt;width:21.75pt;height:.05pt;z-index:251661312" o:connectortype="straight">
            <v:stroke endarrow="block"/>
          </v:shape>
        </w:pict>
      </w:r>
      <w:r w:rsidR="00E76C16">
        <w:t xml:space="preserve">Au premier plan le port sur le Guadalquivir. On identifie la ville à la Giralda (       </w:t>
      </w:r>
      <w:r w:rsidR="00067B1C">
        <w:t xml:space="preserve">   </w:t>
      </w:r>
      <w:r w:rsidR="00E76C16">
        <w:t xml:space="preserve">), minaret devenu clocher de la cathédrale après la </w:t>
      </w:r>
      <w:proofErr w:type="spellStart"/>
      <w:r w:rsidR="00E76C16" w:rsidRPr="005D07E1">
        <w:rPr>
          <w:i/>
        </w:rPr>
        <w:t>reconquista</w:t>
      </w:r>
      <w:proofErr w:type="spellEnd"/>
      <w:r w:rsidR="00E76C16">
        <w:t>.</w:t>
      </w:r>
    </w:p>
    <w:p w:rsidR="00E76C16" w:rsidRDefault="005D07E1" w:rsidP="00E76C16">
      <w:pPr>
        <w:jc w:val="both"/>
      </w:pPr>
      <w:r w:rsidRPr="00A36EEA">
        <w:rPr>
          <w:b/>
          <w:noProof/>
          <w:color w:val="FF000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501650</wp:posOffset>
            </wp:positionV>
            <wp:extent cx="3857625" cy="3241040"/>
            <wp:effectExtent l="19050" t="0" r="9525" b="0"/>
            <wp:wrapSquare wrapText="bothSides"/>
            <wp:docPr id="7" name="Image 7" descr="http://smatc.com/uploads/images/camino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atc.com/uploads/images/camino%2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F91">
        <w:rPr>
          <w:b/>
          <w:color w:val="FF0000"/>
        </w:rPr>
        <w:tab/>
      </w:r>
      <w:r w:rsidR="00067B1C" w:rsidRPr="00A36EEA">
        <w:rPr>
          <w:b/>
          <w:color w:val="FF0000"/>
        </w:rPr>
        <w:t>Culturel.</w:t>
      </w:r>
      <w:r w:rsidR="00067B1C" w:rsidRPr="00D33D59">
        <w:rPr>
          <w:b/>
        </w:rPr>
        <w:t xml:space="preserve"> Les espaces ibériques partagent avec les pays de langue d’oc des affinités linguistiques</w:t>
      </w:r>
      <w:r w:rsidR="00067B1C">
        <w:t xml:space="preserve"> qui peuvent rendre rendent le déracinement plus facile. </w:t>
      </w:r>
      <w:r w:rsidR="00D33D59" w:rsidRPr="00D33D59">
        <w:rPr>
          <w:b/>
        </w:rPr>
        <w:t>Affinité religieuse aussi</w:t>
      </w:r>
      <w:r w:rsidR="00D33D59">
        <w:t xml:space="preserve"> : </w:t>
      </w:r>
      <w:r w:rsidR="00067B1C">
        <w:t>traversant le Massif Central, le</w:t>
      </w:r>
      <w:r w:rsidR="00D33D59">
        <w:t xml:space="preserve"> « </w:t>
      </w:r>
      <w:proofErr w:type="spellStart"/>
      <w:r w:rsidR="00067B1C" w:rsidRPr="00D33D59">
        <w:rPr>
          <w:b/>
          <w:i/>
        </w:rPr>
        <w:t>camino</w:t>
      </w:r>
      <w:proofErr w:type="spellEnd"/>
      <w:r w:rsidR="00067B1C" w:rsidRPr="00D33D59">
        <w:rPr>
          <w:b/>
          <w:i/>
        </w:rPr>
        <w:t xml:space="preserve"> </w:t>
      </w:r>
      <w:proofErr w:type="spellStart"/>
      <w:r w:rsidR="00067B1C" w:rsidRPr="00D33D59">
        <w:rPr>
          <w:b/>
          <w:i/>
        </w:rPr>
        <w:t>franc</w:t>
      </w:r>
      <w:r w:rsidR="00D33D59" w:rsidRPr="00D33D59">
        <w:rPr>
          <w:b/>
          <w:i/>
        </w:rPr>
        <w:t>é</w:t>
      </w:r>
      <w:r w:rsidR="00067B1C" w:rsidRPr="00D33D59">
        <w:rPr>
          <w:b/>
          <w:i/>
        </w:rPr>
        <w:t>s</w:t>
      </w:r>
      <w:proofErr w:type="spellEnd"/>
      <w:r w:rsidR="00D33D59">
        <w:rPr>
          <w:b/>
        </w:rPr>
        <w:t> »</w:t>
      </w:r>
      <w:r w:rsidR="00067B1C">
        <w:t xml:space="preserve"> </w:t>
      </w:r>
      <w:r w:rsidR="00D33D59" w:rsidRPr="00D33D59">
        <w:rPr>
          <w:b/>
        </w:rPr>
        <w:t>conduit les pèlerins vers Saint Jacques de Compostelle</w:t>
      </w:r>
      <w:r w:rsidR="00D33D59">
        <w:t> : l’itinéraire est connu et balisé et les « </w:t>
      </w:r>
      <w:r w:rsidR="00D33D59" w:rsidRPr="00D33D59">
        <w:rPr>
          <w:i/>
        </w:rPr>
        <w:t xml:space="preserve">jacquets auvergnats apprennent  tôt  à prolonger un peu leur séjour autour du </w:t>
      </w:r>
      <w:proofErr w:type="spellStart"/>
      <w:r w:rsidR="00D33D59" w:rsidRPr="00D33D59">
        <w:rPr>
          <w:i/>
        </w:rPr>
        <w:t>camino</w:t>
      </w:r>
      <w:proofErr w:type="spellEnd"/>
      <w:r w:rsidR="00D33D59" w:rsidRPr="00D33D59">
        <w:rPr>
          <w:i/>
        </w:rPr>
        <w:t xml:space="preserve"> pour y commercer, le temps de faire une bonne épargne et de rentrer dans leurs frais de voyage</w:t>
      </w:r>
      <w:r w:rsidR="00D33D59">
        <w:t xml:space="preserve"> ».  </w:t>
      </w:r>
      <w:r w:rsidR="00D33D59" w:rsidRPr="005D07E1">
        <w:rPr>
          <w:b/>
        </w:rPr>
        <w:t>Enfin, des liens politiques ont existé</w:t>
      </w:r>
      <w:r>
        <w:t xml:space="preserve"> : les rois d’Aragon furent un temps vicomtes de </w:t>
      </w:r>
      <w:proofErr w:type="spellStart"/>
      <w:r>
        <w:t>Carlat</w:t>
      </w:r>
      <w:proofErr w:type="spellEnd"/>
      <w:r>
        <w:t xml:space="preserve">,  capitale du </w:t>
      </w:r>
      <w:proofErr w:type="spellStart"/>
      <w:r>
        <w:t>Carladès</w:t>
      </w:r>
      <w:proofErr w:type="spellEnd"/>
      <w:r>
        <w:t>, région  correspondant  au sud de l’actuel département du Cantal et au nord de l’Aveyron.</w:t>
      </w:r>
    </w:p>
    <w:p w:rsidR="005D07E1" w:rsidRDefault="005D07E1" w:rsidP="00E76C16">
      <w:pPr>
        <w:jc w:val="both"/>
      </w:pPr>
    </w:p>
    <w:p w:rsidR="005D07E1" w:rsidRDefault="005D07E1" w:rsidP="00E76C16">
      <w:pPr>
        <w:jc w:val="both"/>
      </w:pPr>
    </w:p>
    <w:p w:rsidR="00713F8F" w:rsidRDefault="00713F8F" w:rsidP="00E76C16">
      <w:pPr>
        <w:jc w:val="both"/>
      </w:pPr>
    </w:p>
    <w:p w:rsidR="00713F8F" w:rsidRDefault="00713F8F" w:rsidP="00E76C16">
      <w:pPr>
        <w:jc w:val="both"/>
      </w:pPr>
    </w:p>
    <w:p w:rsidR="00713F8F" w:rsidRDefault="000C2F91" w:rsidP="00E76C16">
      <w:pPr>
        <w:jc w:val="both"/>
      </w:pPr>
      <w:r>
        <w:rPr>
          <w:b/>
          <w:color w:val="FF0000"/>
        </w:rPr>
        <w:tab/>
      </w:r>
      <w:r w:rsidR="00713F8F" w:rsidRPr="00A36EEA">
        <w:rPr>
          <w:b/>
          <w:color w:val="FF0000"/>
        </w:rPr>
        <w:t>Qui part ?</w:t>
      </w:r>
      <w:r w:rsidR="00713F8F">
        <w:t xml:space="preserve"> </w:t>
      </w:r>
      <w:r w:rsidR="00713F8F" w:rsidRPr="002D276A">
        <w:rPr>
          <w:b/>
        </w:rPr>
        <w:t>Celui qui part pour la première fois est souvent un adolescent, voire encore un enfant</w:t>
      </w:r>
      <w:r w:rsidR="002D276A">
        <w:t xml:space="preserve"> (13 ans)</w:t>
      </w:r>
      <w:r w:rsidR="00713F8F">
        <w:t xml:space="preserve">. </w:t>
      </w:r>
      <w:r w:rsidR="00713F8F" w:rsidRPr="002D276A">
        <w:rPr>
          <w:b/>
        </w:rPr>
        <w:t>Il part ordinairement avec un parent</w:t>
      </w:r>
      <w:r w:rsidR="00713F8F">
        <w:t xml:space="preserve">,  ou un voisin dont la présence facilitera son adaptation. Il arrive que de véritables contrats soient signés. Ainsi </w:t>
      </w:r>
      <w:r w:rsidR="009B5CF1">
        <w:t>« </w:t>
      </w:r>
      <w:r w:rsidR="00713F8F" w:rsidRPr="009B5CF1">
        <w:rPr>
          <w:i/>
        </w:rPr>
        <w:t xml:space="preserve">Gabriel </w:t>
      </w:r>
      <w:proofErr w:type="spellStart"/>
      <w:r w:rsidR="00713F8F" w:rsidRPr="009B5CF1">
        <w:rPr>
          <w:i/>
        </w:rPr>
        <w:t>Bonal</w:t>
      </w:r>
      <w:proofErr w:type="spellEnd"/>
      <w:r w:rsidR="00713F8F" w:rsidRPr="009B5CF1">
        <w:rPr>
          <w:i/>
        </w:rPr>
        <w:t xml:space="preserve">, boulanger travaillant à </w:t>
      </w:r>
      <w:proofErr w:type="spellStart"/>
      <w:r w:rsidR="00713F8F" w:rsidRPr="009B5CF1">
        <w:rPr>
          <w:i/>
        </w:rPr>
        <w:t>Arealrico</w:t>
      </w:r>
      <w:proofErr w:type="spellEnd"/>
      <w:r w:rsidR="00713F8F" w:rsidRPr="009B5CF1">
        <w:rPr>
          <w:i/>
        </w:rPr>
        <w:t xml:space="preserve">, en Espagne, s’oblige  à mener en Espagne son jeune neveu François </w:t>
      </w:r>
      <w:proofErr w:type="spellStart"/>
      <w:r w:rsidR="00713F8F" w:rsidRPr="009B5CF1">
        <w:rPr>
          <w:i/>
        </w:rPr>
        <w:t>Mex</w:t>
      </w:r>
      <w:proofErr w:type="spellEnd"/>
      <w:r w:rsidR="00713F8F" w:rsidRPr="009B5CF1">
        <w:rPr>
          <w:i/>
        </w:rPr>
        <w:t xml:space="preserve">, à le placer comme apprenti pour deux ans et demi chez un compatriote, chaudronnier établi à </w:t>
      </w:r>
      <w:proofErr w:type="spellStart"/>
      <w:r w:rsidR="00713F8F" w:rsidRPr="009B5CF1">
        <w:rPr>
          <w:i/>
        </w:rPr>
        <w:t>Arealrico</w:t>
      </w:r>
      <w:proofErr w:type="spellEnd"/>
      <w:r w:rsidR="00713F8F" w:rsidRPr="009B5CF1">
        <w:rPr>
          <w:i/>
        </w:rPr>
        <w:t xml:space="preserve"> , à veiller à sa conduite pendant tout ce temps … moyennant une somme de 400 livres</w:t>
      </w:r>
      <w:r w:rsidR="009B5CF1" w:rsidRPr="009B5CF1">
        <w:rPr>
          <w:i/>
        </w:rPr>
        <w:t xml:space="preserve"> une fois payée, et destinée à rémunérer les dépenses </w:t>
      </w:r>
      <w:r w:rsidR="002D276A">
        <w:rPr>
          <w:i/>
        </w:rPr>
        <w:t>d</w:t>
      </w:r>
      <w:r w:rsidR="009B5CF1" w:rsidRPr="009B5CF1">
        <w:rPr>
          <w:i/>
        </w:rPr>
        <w:t>e voyage, tant pour la  nourriture que pour le logement</w:t>
      </w:r>
      <w:r w:rsidR="009B5CF1">
        <w:rPr>
          <w:i/>
        </w:rPr>
        <w:t> »</w:t>
      </w:r>
      <w:r w:rsidR="009B5CF1">
        <w:t xml:space="preserve">. </w:t>
      </w:r>
      <w:r w:rsidR="009B5CF1" w:rsidRPr="002D276A">
        <w:rPr>
          <w:b/>
        </w:rPr>
        <w:t>D’autres s’en remettent à des « passeurs » d’hommes</w:t>
      </w:r>
      <w:r w:rsidR="009B5CF1">
        <w:t xml:space="preserve"> </w:t>
      </w:r>
      <w:r w:rsidR="009B5CF1" w:rsidRPr="009B5CF1">
        <w:rPr>
          <w:i/>
        </w:rPr>
        <w:t>« qui tirent profit de leur connaissances des itinéraires, des cabarets ou des auberges qui les  jalonnent, des gens et des choses d’Espagne</w:t>
      </w:r>
      <w:r w:rsidR="009B5CF1">
        <w:t> ». C’est le cas de Andrieu dit « L’Espagnol », du village  d’</w:t>
      </w:r>
      <w:proofErr w:type="spellStart"/>
      <w:r w:rsidR="009B5CF1">
        <w:t>Arnac</w:t>
      </w:r>
      <w:proofErr w:type="spellEnd"/>
      <w:r w:rsidR="009B5CF1">
        <w:t xml:space="preserve">   (Rouergue) qui emmène à Valence ou Saragosse une soixantaine de ses compatriotes, moyennant une somme forfaitaire de 10 à 45 livres,  « s’</w:t>
      </w:r>
      <w:r w:rsidR="009B5CF1" w:rsidRPr="009B5CF1">
        <w:rPr>
          <w:i/>
        </w:rPr>
        <w:t>engage</w:t>
      </w:r>
      <w:r w:rsidR="009B5CF1">
        <w:rPr>
          <w:i/>
        </w:rPr>
        <w:t>ant</w:t>
      </w:r>
      <w:r w:rsidR="009B5CF1" w:rsidRPr="009B5CF1">
        <w:rPr>
          <w:i/>
        </w:rPr>
        <w:t xml:space="preserve"> à les guider, à leur fournir de la nourriture de bouche à ses frais pendant toute la durée du voyage… ainsi</w:t>
      </w:r>
      <w:r w:rsidR="009B5CF1">
        <w:rPr>
          <w:i/>
        </w:rPr>
        <w:t xml:space="preserve"> </w:t>
      </w:r>
      <w:r w:rsidR="009B5CF1" w:rsidRPr="009B5CF1">
        <w:rPr>
          <w:i/>
        </w:rPr>
        <w:t>qu’à les placer </w:t>
      </w:r>
      <w:r w:rsidR="009B5CF1">
        <w:rPr>
          <w:i/>
        </w:rPr>
        <w:t>à leur arrivée</w:t>
      </w:r>
      <w:r w:rsidR="009B5CF1">
        <w:t>». </w:t>
      </w:r>
    </w:p>
    <w:p w:rsidR="002D276A" w:rsidRDefault="002D276A" w:rsidP="00E76C16">
      <w:pPr>
        <w:jc w:val="both"/>
      </w:pPr>
      <w:r>
        <w:t>C’est à partir du XVIII° que se répand le voyage à cheval, souvent revendu à l’arrivée. Le cheval représente alors un lourd investissement de départ</w:t>
      </w:r>
      <w:r w:rsidR="0070424C">
        <w:t> : «</w:t>
      </w:r>
      <w:r w:rsidR="0070424C" w:rsidRPr="0070424C">
        <w:rPr>
          <w:i/>
        </w:rPr>
        <w:t xml:space="preserve"> Guillaume </w:t>
      </w:r>
      <w:proofErr w:type="spellStart"/>
      <w:r w:rsidR="0070424C" w:rsidRPr="0070424C">
        <w:rPr>
          <w:i/>
        </w:rPr>
        <w:t>Veyrines</w:t>
      </w:r>
      <w:proofErr w:type="spellEnd"/>
      <w:r w:rsidR="0070424C" w:rsidRPr="0070424C">
        <w:rPr>
          <w:i/>
        </w:rPr>
        <w:t>, chaudronnier natif d’Aurillac, reconnaît en 1728 avoir reçu comptant de son frère Pierre 150 livres d’avance sur [son héritage] pour s’en aller au royaume d’Espagne où il est dans le dessein d’aller continuer son commerce de chaudronnier, et pour lu</w:t>
      </w:r>
      <w:r w:rsidR="0070424C">
        <w:rPr>
          <w:i/>
        </w:rPr>
        <w:t>i</w:t>
      </w:r>
      <w:r w:rsidR="0070424C" w:rsidRPr="0070424C">
        <w:rPr>
          <w:i/>
        </w:rPr>
        <w:t xml:space="preserve"> acheter un cheval </w:t>
      </w:r>
      <w:r w:rsidR="0070424C">
        <w:t xml:space="preserve">». </w:t>
      </w:r>
      <w:r>
        <w:t xml:space="preserve"> Jusqu’alors, le cheminement se faisait à pied</w:t>
      </w:r>
      <w:r w:rsidR="0070424C">
        <w:t>.</w:t>
      </w:r>
    </w:p>
    <w:p w:rsidR="0070424C" w:rsidRDefault="000C2F91" w:rsidP="00E76C16">
      <w:pPr>
        <w:jc w:val="both"/>
      </w:pPr>
      <w:r>
        <w:rPr>
          <w:b/>
          <w:color w:val="FF0000"/>
        </w:rPr>
        <w:tab/>
      </w:r>
      <w:r w:rsidR="0070424C" w:rsidRPr="00A36EEA">
        <w:rPr>
          <w:b/>
          <w:color w:val="FF0000"/>
        </w:rPr>
        <w:t xml:space="preserve">Les départs ont lieu </w:t>
      </w:r>
      <w:r w:rsidR="0042533A">
        <w:rPr>
          <w:b/>
          <w:color w:val="FF0000"/>
        </w:rPr>
        <w:t xml:space="preserve">majoritairement </w:t>
      </w:r>
      <w:r w:rsidR="0070424C" w:rsidRPr="00A36EEA">
        <w:rPr>
          <w:b/>
          <w:color w:val="FF0000"/>
        </w:rPr>
        <w:t>en automne</w:t>
      </w:r>
      <w:r w:rsidR="0042533A">
        <w:rPr>
          <w:b/>
          <w:color w:val="FF0000"/>
        </w:rPr>
        <w:t xml:space="preserve"> </w:t>
      </w:r>
      <w:r w:rsidR="0042533A" w:rsidRPr="00A36EEA">
        <w:rPr>
          <w:b/>
        </w:rPr>
        <w:t>(40</w:t>
      </w:r>
      <w:r w:rsidR="0042533A" w:rsidRPr="0042533A">
        <w:rPr>
          <w:b/>
        </w:rPr>
        <w:t>%), une fois</w:t>
      </w:r>
      <w:r w:rsidR="0042533A">
        <w:rPr>
          <w:b/>
          <w:color w:val="FF0000"/>
        </w:rPr>
        <w:t xml:space="preserve"> </w:t>
      </w:r>
      <w:r w:rsidR="0042533A">
        <w:rPr>
          <w:b/>
        </w:rPr>
        <w:t xml:space="preserve">les moissons rentrées et </w:t>
      </w:r>
      <w:r w:rsidR="00A36EEA" w:rsidRPr="00A36EEA">
        <w:rPr>
          <w:b/>
        </w:rPr>
        <w:t>après avoir testé</w:t>
      </w:r>
      <w:r w:rsidR="00A36EEA" w:rsidRPr="00A36EEA">
        <w:t xml:space="preserve"> auprès du notaire de la ville ou de la seigneurie.</w:t>
      </w:r>
      <w:r w:rsidR="00A36EEA">
        <w:rPr>
          <w:b/>
        </w:rPr>
        <w:t xml:space="preserve"> </w:t>
      </w:r>
      <w:r w:rsidR="0070424C" w:rsidRPr="00A36EEA">
        <w:rPr>
          <w:b/>
          <w:color w:val="FF0000"/>
        </w:rPr>
        <w:t xml:space="preserve">On </w:t>
      </w:r>
      <w:r w:rsidR="00A36EEA" w:rsidRPr="00A36EEA">
        <w:rPr>
          <w:b/>
          <w:color w:val="FF0000"/>
        </w:rPr>
        <w:t>se dirige vers</w:t>
      </w:r>
      <w:r w:rsidR="00A36EEA">
        <w:rPr>
          <w:b/>
        </w:rPr>
        <w:t xml:space="preserve"> </w:t>
      </w:r>
      <w:r w:rsidR="0070424C" w:rsidRPr="00A36EEA">
        <w:rPr>
          <w:b/>
        </w:rPr>
        <w:t>la Catalogne, l’Aragon, le pays Valencien, l’Andalousie</w:t>
      </w:r>
      <w:r w:rsidR="00A36EEA" w:rsidRPr="00A36EEA">
        <w:rPr>
          <w:b/>
        </w:rPr>
        <w:t xml:space="preserve"> et  bien sûr</w:t>
      </w:r>
      <w:r w:rsidR="0070424C" w:rsidRPr="00A36EEA">
        <w:rPr>
          <w:b/>
        </w:rPr>
        <w:t xml:space="preserve"> Madrid.</w:t>
      </w:r>
      <w:r w:rsidR="0070424C" w:rsidRPr="00A36EEA">
        <w:t xml:space="preserve"> </w:t>
      </w:r>
      <w:r w:rsidR="0070424C" w:rsidRPr="00A36EEA">
        <w:rPr>
          <w:b/>
          <w:color w:val="FF0000"/>
        </w:rPr>
        <w:t>L’expatriation dure entre 4 et 6 ans</w:t>
      </w:r>
      <w:r w:rsidR="00A36EEA" w:rsidRPr="00A36EEA">
        <w:rPr>
          <w:b/>
        </w:rPr>
        <w:t xml:space="preserve">, </w:t>
      </w:r>
      <w:r w:rsidR="006076F4">
        <w:rPr>
          <w:b/>
        </w:rPr>
        <w:t xml:space="preserve">suivie d’un </w:t>
      </w:r>
      <w:r w:rsidR="00A36EEA" w:rsidRPr="00A36EEA">
        <w:rPr>
          <w:b/>
        </w:rPr>
        <w:t xml:space="preserve"> bref retour au pays</w:t>
      </w:r>
      <w:r w:rsidR="00A36EEA" w:rsidRPr="00A36EEA">
        <w:t xml:space="preserve"> </w:t>
      </w:r>
      <w:r w:rsidR="006076F4">
        <w:t xml:space="preserve">(2 mois) avant une nouvelle campagne. A </w:t>
      </w:r>
      <w:r w:rsidR="00A36EEA" w:rsidRPr="00A36EEA">
        <w:t xml:space="preserve"> moins que le migrant ne se marie et fasse souche en Espagne, </w:t>
      </w:r>
      <w:r w:rsidR="006076F4">
        <w:t xml:space="preserve">abandonnant toute idée de retour et </w:t>
      </w:r>
      <w:r w:rsidR="00A36EEA" w:rsidRPr="00A36EEA">
        <w:t xml:space="preserve">demandant alors à un  compatriote qui rentre  de régler ses affaires au  pays… </w:t>
      </w:r>
      <w:r w:rsidR="0070424C" w:rsidRPr="00A36EEA">
        <w:t xml:space="preserve">  </w:t>
      </w:r>
    </w:p>
    <w:p w:rsidR="00DB3C6B" w:rsidRDefault="00A36F8F" w:rsidP="00E76C16">
      <w:pPr>
        <w:jc w:val="both"/>
      </w:pPr>
      <w:r>
        <w:t>Ces immigrés exercent des métiers indispensables à la bonne marche de l’économie espagnole. Ils sont  marchands</w:t>
      </w:r>
      <w:r w:rsidR="006A6D18">
        <w:t xml:space="preserve"> de bestiaux,  draps</w:t>
      </w:r>
      <w:r w:rsidR="00B65A3E">
        <w:t>, huile</w:t>
      </w:r>
      <w:r w:rsidR="006A6D18">
        <w:t>…</w:t>
      </w:r>
      <w:r>
        <w:t xml:space="preserve">, colporteurs, </w:t>
      </w:r>
      <w:r w:rsidR="00B65A3E">
        <w:t xml:space="preserve">gagne-deniers ou </w:t>
      </w:r>
      <w:r>
        <w:t>boulangers </w:t>
      </w:r>
      <w:r w:rsidR="00B65A3E">
        <w:t>-</w:t>
      </w:r>
      <w:r>
        <w:t xml:space="preserve"> Cordoue en compte 2 en 1646</w:t>
      </w:r>
      <w:r w:rsidR="006A6D18">
        <w:t xml:space="preserve"> et le « </w:t>
      </w:r>
      <w:r w:rsidR="006A6D18" w:rsidRPr="006A6D18">
        <w:rPr>
          <w:i/>
        </w:rPr>
        <w:t xml:space="preserve">pan </w:t>
      </w:r>
      <w:proofErr w:type="spellStart"/>
      <w:r w:rsidR="006A6D18" w:rsidRPr="006A6D18">
        <w:rPr>
          <w:i/>
        </w:rPr>
        <w:t>frances</w:t>
      </w:r>
      <w:proofErr w:type="spellEnd"/>
      <w:r w:rsidR="006A6D18">
        <w:rPr>
          <w:i/>
        </w:rPr>
        <w:t xml:space="preserve"> » </w:t>
      </w:r>
      <w:r w:rsidR="006A6D18" w:rsidRPr="006A6D18">
        <w:t xml:space="preserve">de </w:t>
      </w:r>
      <w:proofErr w:type="spellStart"/>
      <w:r w:rsidR="006A6D18" w:rsidRPr="006A6D18">
        <w:t>Vallecas</w:t>
      </w:r>
      <w:proofErr w:type="spellEnd"/>
      <w:r w:rsidR="006A6D18" w:rsidRPr="006A6D18">
        <w:t xml:space="preserve"> est très réputé à Madrid</w:t>
      </w:r>
      <w:r w:rsidR="006A6D18">
        <w:t xml:space="preserve"> au XVII°</w:t>
      </w:r>
      <w:r w:rsidR="00B65A3E">
        <w:t>-</w:t>
      </w:r>
      <w:r>
        <w:t xml:space="preserve">, </w:t>
      </w:r>
      <w:proofErr w:type="spellStart"/>
      <w:r w:rsidRPr="00A36F8F">
        <w:rPr>
          <w:i/>
        </w:rPr>
        <w:t>aguadores</w:t>
      </w:r>
      <w:proofErr w:type="spellEnd"/>
      <w:r>
        <w:t xml:space="preserve"> (porteurs d’eau), portefaix, manœuvres, chaudronnier</w:t>
      </w:r>
      <w:r w:rsidR="006A6D18">
        <w:t xml:space="preserve">… </w:t>
      </w:r>
    </w:p>
    <w:p w:rsidR="00DB3C6B" w:rsidRDefault="000C2F91" w:rsidP="00E76C16">
      <w:pPr>
        <w:jc w:val="both"/>
      </w:pPr>
      <w:r>
        <w:rPr>
          <w:b/>
          <w:color w:val="FF0000"/>
        </w:rPr>
        <w:tab/>
      </w:r>
      <w:r w:rsidR="006A6D18" w:rsidRPr="00DB3C6B">
        <w:rPr>
          <w:b/>
          <w:color w:val="FF0000"/>
        </w:rPr>
        <w:t>La réussite est parfois éclatante</w:t>
      </w:r>
      <w:r w:rsidR="006A6D18">
        <w:t xml:space="preserve"> comme en témoigne la création </w:t>
      </w:r>
      <w:r w:rsidR="00DB3C6B">
        <w:t xml:space="preserve">par </w:t>
      </w:r>
      <w:r w:rsidR="006A6D18">
        <w:t xml:space="preserve"> les </w:t>
      </w:r>
      <w:r w:rsidR="00DB3C6B">
        <w:t xml:space="preserve">migrants originaires </w:t>
      </w:r>
      <w:r w:rsidR="006A6D18">
        <w:t xml:space="preserve">de </w:t>
      </w:r>
      <w:proofErr w:type="spellStart"/>
      <w:r w:rsidR="006A6D18">
        <w:t>Crandelles</w:t>
      </w:r>
      <w:proofErr w:type="spellEnd"/>
      <w:r w:rsidR="006A6D18">
        <w:t xml:space="preserve"> </w:t>
      </w:r>
      <w:r w:rsidR="00DB3C6B">
        <w:t xml:space="preserve">(près d’Aurillac) </w:t>
      </w:r>
      <w:r w:rsidR="006A6D18">
        <w:t xml:space="preserve">de la </w:t>
      </w:r>
      <w:r w:rsidR="006A6D18" w:rsidRPr="00DB3C6B">
        <w:rPr>
          <w:b/>
        </w:rPr>
        <w:t xml:space="preserve">compagnie de </w:t>
      </w:r>
      <w:r w:rsidR="00DB3C6B" w:rsidRPr="00DB3C6B">
        <w:rPr>
          <w:b/>
        </w:rPr>
        <w:t xml:space="preserve">commerce de </w:t>
      </w:r>
      <w:r w:rsidR="006A6D18" w:rsidRPr="00DB3C6B">
        <w:rPr>
          <w:b/>
        </w:rPr>
        <w:t>Chinchon</w:t>
      </w:r>
      <w:r w:rsidR="00DB3C6B">
        <w:t> (ville au S.E de Madrid, dont l</w:t>
      </w:r>
      <w:r w:rsidR="00E25EB4">
        <w:t xml:space="preserve">’une des 25 </w:t>
      </w:r>
      <w:r w:rsidR="00DB3C6B">
        <w:t xml:space="preserve"> succursale</w:t>
      </w:r>
      <w:r w:rsidR="00E25EB4">
        <w:t>s</w:t>
      </w:r>
      <w:r w:rsidR="00DB3C6B">
        <w:t xml:space="preserve"> est à </w:t>
      </w:r>
      <w:proofErr w:type="spellStart"/>
      <w:r w:rsidR="00DB3C6B">
        <w:t>Navalcarnero</w:t>
      </w:r>
      <w:proofErr w:type="spellEnd"/>
      <w:r w:rsidR="00E25EB4">
        <w:t>, S.O de Madrid</w:t>
      </w:r>
      <w:r w:rsidR="00DB3C6B">
        <w:t>. Voir carte).</w:t>
      </w:r>
    </w:p>
    <w:p w:rsidR="00DB3C6B" w:rsidRDefault="00DB3C6B" w:rsidP="00E76C16">
      <w:pPr>
        <w:jc w:val="both"/>
      </w:pPr>
      <w:r>
        <w:t xml:space="preserve"> </w:t>
      </w:r>
      <w:hyperlink r:id="rId10" w:history="1">
        <w:r w:rsidRPr="003D21F6">
          <w:rPr>
            <w:rStyle w:val="Lienhypertexte"/>
          </w:rPr>
          <w:t>http://www.larousse.fr/encyclopedie/divers/la_compagnie_de_Chinch%C3%B3n/180670</w:t>
        </w:r>
      </w:hyperlink>
    </w:p>
    <w:p w:rsidR="00DB3C6B" w:rsidRDefault="00DB3C6B" w:rsidP="00E76C16">
      <w:pPr>
        <w:jc w:val="both"/>
      </w:pPr>
      <w:r>
        <w:t xml:space="preserve">C’est également le cas de la </w:t>
      </w:r>
      <w:r w:rsidRPr="00E25EB4">
        <w:rPr>
          <w:b/>
        </w:rPr>
        <w:t xml:space="preserve">famille </w:t>
      </w:r>
      <w:proofErr w:type="spellStart"/>
      <w:r w:rsidRPr="00E25EB4">
        <w:rPr>
          <w:b/>
        </w:rPr>
        <w:t>Vermenouze</w:t>
      </w:r>
      <w:proofErr w:type="spellEnd"/>
      <w:r w:rsidRPr="00E25EB4">
        <w:rPr>
          <w:b/>
        </w:rPr>
        <w:t>,</w:t>
      </w:r>
      <w:r>
        <w:t xml:space="preserve"> installée à </w:t>
      </w:r>
      <w:proofErr w:type="spellStart"/>
      <w:r w:rsidR="00E25EB4">
        <w:t>Illescas</w:t>
      </w:r>
      <w:proofErr w:type="spellEnd"/>
      <w:r w:rsidR="00E25EB4">
        <w:t xml:space="preserve">, à  </w:t>
      </w:r>
      <w:r>
        <w:t>mi-che</w:t>
      </w:r>
      <w:r w:rsidR="00E25EB4">
        <w:t>min entre Tolède et Madrid.</w:t>
      </w:r>
    </w:p>
    <w:p w:rsidR="004E5D6B" w:rsidRDefault="004E5D6B" w:rsidP="00E76C16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-328295</wp:posOffset>
            </wp:positionV>
            <wp:extent cx="3657600" cy="3657600"/>
            <wp:effectExtent l="19050" t="0" r="0" b="0"/>
            <wp:wrapSquare wrapText="bothSides"/>
            <wp:docPr id="10" name="Image 10" descr="http://www.vacances-location.net/locations-vacances/map-town/madrid/chinc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acances-location.net/locations-vacances/map-town/madrid/chinch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D6B" w:rsidRDefault="004E5D6B" w:rsidP="00E76C16">
      <w:pPr>
        <w:jc w:val="both"/>
      </w:pPr>
    </w:p>
    <w:p w:rsidR="004E5D6B" w:rsidRDefault="004E5D6B" w:rsidP="00E76C16">
      <w:pPr>
        <w:jc w:val="both"/>
      </w:pPr>
    </w:p>
    <w:p w:rsidR="004E5D6B" w:rsidRDefault="004E5D6B" w:rsidP="00E76C16">
      <w:pPr>
        <w:jc w:val="both"/>
      </w:pPr>
    </w:p>
    <w:p w:rsidR="004E5D6B" w:rsidRDefault="004E5D6B" w:rsidP="00E76C16">
      <w:pPr>
        <w:jc w:val="both"/>
      </w:pPr>
    </w:p>
    <w:p w:rsidR="004E5D6B" w:rsidRDefault="004E5D6B" w:rsidP="00E76C16">
      <w:pPr>
        <w:jc w:val="both"/>
      </w:pPr>
    </w:p>
    <w:p w:rsidR="004E5D6B" w:rsidRDefault="002B0F79" w:rsidP="00E76C16">
      <w:pPr>
        <w:jc w:val="both"/>
      </w:pPr>
      <w:r>
        <w:rPr>
          <w:noProof/>
          <w:lang w:eastAsia="fr-FR"/>
        </w:rPr>
        <w:pict>
          <v:shape id="_x0000_s1028" type="#_x0000_t32" style="position:absolute;left:0;text-align:left;margin-left:178.15pt;margin-top:20.25pt;width:18pt;height:24.75pt;flip:y;z-index:251664384" o:connectortype="straight">
            <v:stroke endarrow="block"/>
          </v:shape>
        </w:pict>
      </w:r>
    </w:p>
    <w:p w:rsidR="004E5D6B" w:rsidRDefault="002B0F79" w:rsidP="00E76C16">
      <w:pPr>
        <w:jc w:val="both"/>
      </w:pPr>
      <w:r>
        <w:rPr>
          <w:noProof/>
          <w:lang w:eastAsia="fr-FR"/>
        </w:rPr>
        <w:pict>
          <v:shape id="_x0000_s1029" type="#_x0000_t32" style="position:absolute;left:0;text-align:left;margin-left:282.4pt;margin-top:14.3pt;width:30pt;height:33pt;flip:x y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4.65pt;margin-top:19.55pt;width:73.5pt;height:20.25pt;z-index:251667456">
            <v:textbox>
              <w:txbxContent>
                <w:p w:rsidR="00E7674F" w:rsidRPr="00E25EB4" w:rsidRDefault="00E7674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25EB4">
                    <w:rPr>
                      <w:sz w:val="20"/>
                      <w:szCs w:val="20"/>
                    </w:rPr>
                    <w:t>Navalcarnero</w:t>
                  </w:r>
                  <w:proofErr w:type="spellEnd"/>
                </w:p>
              </w:txbxContent>
            </v:textbox>
          </v:shape>
        </w:pict>
      </w:r>
    </w:p>
    <w:p w:rsidR="004E5D6B" w:rsidRDefault="002B0F79" w:rsidP="00E76C16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312.4pt;margin-top:21.85pt;width:58.5pt;height:18.75pt;z-index:251666432">
            <v:textbox>
              <w:txbxContent>
                <w:p w:rsidR="00E7674F" w:rsidRPr="00E25EB4" w:rsidRDefault="00E7674F">
                  <w:pPr>
                    <w:rPr>
                      <w:sz w:val="20"/>
                      <w:szCs w:val="20"/>
                    </w:rPr>
                  </w:pPr>
                  <w:r w:rsidRPr="00E25EB4">
                    <w:rPr>
                      <w:sz w:val="20"/>
                      <w:szCs w:val="20"/>
                    </w:rPr>
                    <w:t>Chinchon</w:t>
                  </w:r>
                </w:p>
              </w:txbxContent>
            </v:textbox>
          </v:shape>
        </w:pict>
      </w:r>
    </w:p>
    <w:p w:rsidR="004E5D6B" w:rsidRDefault="004E5D6B" w:rsidP="00E76C16">
      <w:pPr>
        <w:jc w:val="both"/>
      </w:pPr>
    </w:p>
    <w:p w:rsidR="004E5D6B" w:rsidRDefault="004E5D6B" w:rsidP="00E76C16">
      <w:pPr>
        <w:jc w:val="both"/>
      </w:pPr>
    </w:p>
    <w:p w:rsidR="007531D9" w:rsidRDefault="00E23FA5" w:rsidP="007531D9">
      <w:pPr>
        <w:jc w:val="both"/>
      </w:pPr>
      <w:r>
        <w:rPr>
          <w:b/>
          <w:color w:val="FF0000"/>
        </w:rPr>
        <w:tab/>
      </w:r>
      <w:r w:rsidR="007531D9" w:rsidRPr="004E5D6B">
        <w:rPr>
          <w:b/>
          <w:color w:val="FF0000"/>
        </w:rPr>
        <w:t>Ces immigrés ont souvent mauvaises réputation et sont victimes de la xénophobie des Espagnols</w:t>
      </w:r>
      <w:r w:rsidR="007531D9">
        <w:rPr>
          <w:b/>
          <w:color w:val="FF0000"/>
        </w:rPr>
        <w:t>.</w:t>
      </w:r>
      <w:r w:rsidR="007531D9">
        <w:t xml:space="preserve"> </w:t>
      </w:r>
    </w:p>
    <w:p w:rsidR="00E23FA5" w:rsidRDefault="00E23FA5" w:rsidP="007531D9">
      <w:pPr>
        <w:jc w:val="both"/>
      </w:pPr>
      <w:r>
        <w:rPr>
          <w:b/>
        </w:rPr>
        <w:tab/>
      </w:r>
      <w:r w:rsidR="007531D9" w:rsidRPr="00E23FA5">
        <w:rPr>
          <w:b/>
        </w:rPr>
        <w:t>L’Espagne a été terre de refuge pour de nombreux sujets du Roi de France</w:t>
      </w:r>
      <w:r w:rsidR="007531D9">
        <w:t xml:space="preserve">. </w:t>
      </w:r>
      <w:r w:rsidR="007531D9" w:rsidRPr="00E23FA5">
        <w:rPr>
          <w:b/>
        </w:rPr>
        <w:t>Réfugiés politiques</w:t>
      </w:r>
      <w:r w:rsidR="007531D9">
        <w:t xml:space="preserve"> dirait-on aujourd’hui –pourvus qu’ils fussent catholiques- pour d’ex </w:t>
      </w:r>
      <w:r w:rsidR="000C2F91">
        <w:t xml:space="preserve">ligueurs ou </w:t>
      </w:r>
      <w:r w:rsidR="007531D9">
        <w:t>frondeurs par exemple (</w:t>
      </w:r>
      <w:r w:rsidR="000C2F91">
        <w:t xml:space="preserve">La Ligue regroupait lors des guerres de religion les ultra catholiques tandis que la </w:t>
      </w:r>
      <w:r w:rsidR="007531D9">
        <w:t xml:space="preserve"> </w:t>
      </w:r>
      <w:r w:rsidR="000C2F91">
        <w:t>F</w:t>
      </w:r>
      <w:r w:rsidR="007531D9">
        <w:t xml:space="preserve">ronde </w:t>
      </w:r>
      <w:r w:rsidR="000C2F91">
        <w:t xml:space="preserve">désigne la </w:t>
      </w:r>
      <w:r w:rsidR="007531D9">
        <w:t xml:space="preserve">révolte des </w:t>
      </w:r>
      <w:r w:rsidR="000C2F91">
        <w:t>G</w:t>
      </w:r>
      <w:r w:rsidR="007531D9">
        <w:t xml:space="preserve">rands du royaume contre </w:t>
      </w:r>
      <w:r w:rsidR="000C2F91">
        <w:t xml:space="preserve">la mise en place de </w:t>
      </w:r>
      <w:r w:rsidR="007531D9">
        <w:t xml:space="preserve">l’absolutisme louis </w:t>
      </w:r>
      <w:proofErr w:type="spellStart"/>
      <w:r w:rsidR="007531D9">
        <w:t>quartorzien</w:t>
      </w:r>
      <w:proofErr w:type="spellEnd"/>
      <w:r w:rsidR="000C2F91">
        <w:t xml:space="preserve"> entre 1648 et 1653). </w:t>
      </w:r>
      <w:r w:rsidR="000C2F91" w:rsidRPr="00E23FA5">
        <w:rPr>
          <w:b/>
        </w:rPr>
        <w:t>Réfugiés économiques</w:t>
      </w:r>
      <w:r w:rsidR="000C2F91">
        <w:t xml:space="preserve"> comme en 1693 où l’Aragon accueille les Français méridionaux fuyant la famine et l’épidémie. </w:t>
      </w:r>
      <w:r w:rsidRPr="00E23FA5">
        <w:rPr>
          <w:b/>
        </w:rPr>
        <w:t>Mais aussi  lieu de refuge pour « </w:t>
      </w:r>
      <w:r w:rsidRPr="00E23FA5">
        <w:rPr>
          <w:b/>
          <w:i/>
        </w:rPr>
        <w:t xml:space="preserve">les malandrins et délinquants de tout poil, </w:t>
      </w:r>
      <w:r w:rsidRPr="007531D9">
        <w:rPr>
          <w:i/>
        </w:rPr>
        <w:t xml:space="preserve">en quête d’impunité </w:t>
      </w:r>
      <w:r w:rsidRPr="00E23FA5">
        <w:t>[qui]</w:t>
      </w:r>
      <w:r>
        <w:t xml:space="preserve"> </w:t>
      </w:r>
      <w:r w:rsidRPr="007531D9">
        <w:rPr>
          <w:i/>
        </w:rPr>
        <w:t>choisissent parfois</w:t>
      </w:r>
      <w:r>
        <w:rPr>
          <w:i/>
        </w:rPr>
        <w:t xml:space="preserve"> </w:t>
      </w:r>
      <w:r w:rsidRPr="007531D9">
        <w:rPr>
          <w:i/>
        </w:rPr>
        <w:t>-surtout s’ils sont méridionaux- de passer en Espagne pour mettre une frontière entre la justice royale et leur col</w:t>
      </w:r>
      <w:r>
        <w:t> »….</w:t>
      </w:r>
    </w:p>
    <w:p w:rsidR="007531D9" w:rsidRDefault="00E23FA5" w:rsidP="007531D9">
      <w:pPr>
        <w:jc w:val="both"/>
      </w:pPr>
      <w:r>
        <w:tab/>
        <w:t>D’où  la remarque de Barthélémy Joly dans « Voyage d’Espagne », écrit en 1603-1604, qui note que « </w:t>
      </w:r>
      <w:r w:rsidR="007531D9">
        <w:t> </w:t>
      </w:r>
      <w:r w:rsidR="007531D9" w:rsidRPr="00FB4277">
        <w:rPr>
          <w:i/>
        </w:rPr>
        <w:t>les Valenciens, comme si c’</w:t>
      </w:r>
      <w:proofErr w:type="spellStart"/>
      <w:r w:rsidR="007531D9" w:rsidRPr="00FB4277">
        <w:rPr>
          <w:i/>
        </w:rPr>
        <w:t>estoit</w:t>
      </w:r>
      <w:proofErr w:type="spellEnd"/>
      <w:r w:rsidR="007531D9" w:rsidRPr="00FB4277">
        <w:rPr>
          <w:i/>
        </w:rPr>
        <w:t xml:space="preserve"> vice d’</w:t>
      </w:r>
      <w:proofErr w:type="spellStart"/>
      <w:r w:rsidR="007531D9" w:rsidRPr="00FB4277">
        <w:rPr>
          <w:i/>
        </w:rPr>
        <w:t>estre</w:t>
      </w:r>
      <w:proofErr w:type="spellEnd"/>
      <w:r w:rsidR="007531D9" w:rsidRPr="00FB4277">
        <w:rPr>
          <w:i/>
        </w:rPr>
        <w:t xml:space="preserve"> estranger, sont injurieux aux François peu moins que </w:t>
      </w:r>
      <w:proofErr w:type="spellStart"/>
      <w:r w:rsidR="007531D9" w:rsidRPr="00FB4277">
        <w:rPr>
          <w:i/>
        </w:rPr>
        <w:t>ceulx</w:t>
      </w:r>
      <w:proofErr w:type="spellEnd"/>
      <w:r w:rsidR="007531D9" w:rsidRPr="00FB4277">
        <w:rPr>
          <w:i/>
        </w:rPr>
        <w:t xml:space="preserve"> de </w:t>
      </w:r>
      <w:proofErr w:type="spellStart"/>
      <w:r w:rsidR="007531D9" w:rsidRPr="00FB4277">
        <w:rPr>
          <w:i/>
        </w:rPr>
        <w:t>Cathalogne</w:t>
      </w:r>
      <w:proofErr w:type="spellEnd"/>
      <w:r w:rsidR="007531D9" w:rsidRPr="00FB4277">
        <w:rPr>
          <w:i/>
        </w:rPr>
        <w:t>, combien qu’il y aye en ceste ville plus de quinze mille François</w:t>
      </w:r>
      <w:r w:rsidR="007531D9">
        <w:t> »</w:t>
      </w:r>
      <w:r>
        <w:t xml:space="preserve">.Le même Joly </w:t>
      </w:r>
      <w:r w:rsidR="007531D9">
        <w:t xml:space="preserve"> s’interroge</w:t>
      </w:r>
      <w:r>
        <w:t xml:space="preserve"> </w:t>
      </w:r>
      <w:r w:rsidR="007531D9">
        <w:t>sur la qualification de « </w:t>
      </w:r>
      <w:proofErr w:type="spellStart"/>
      <w:r w:rsidR="007531D9" w:rsidRPr="002371B0">
        <w:rPr>
          <w:b/>
        </w:rPr>
        <w:t>gavachos</w:t>
      </w:r>
      <w:proofErr w:type="spellEnd"/>
      <w:r w:rsidR="007531D9">
        <w:t> » qui sert d’insulte à leur encontre: dévalorisant, le mot vient-il de « </w:t>
      </w:r>
      <w:proofErr w:type="spellStart"/>
      <w:r w:rsidR="007531D9">
        <w:t>gardevaches</w:t>
      </w:r>
      <w:proofErr w:type="spellEnd"/>
      <w:r w:rsidR="007531D9">
        <w:t xml:space="preserve"> » ou d’une déformation du nom des habitants du Gévaudan ? </w:t>
      </w:r>
    </w:p>
    <w:p w:rsidR="004E5D6B" w:rsidRDefault="00E23FA5" w:rsidP="00E76C16">
      <w:pPr>
        <w:jc w:val="both"/>
      </w:pPr>
      <w:r>
        <w:tab/>
      </w:r>
      <w:r w:rsidR="004E5D6B" w:rsidRPr="002371B0">
        <w:rPr>
          <w:b/>
        </w:rPr>
        <w:t>Etrangers</w:t>
      </w:r>
      <w:r w:rsidR="003D10A0" w:rsidRPr="002371B0">
        <w:rPr>
          <w:b/>
        </w:rPr>
        <w:t xml:space="preserve"> et parfois concurrents économiques</w:t>
      </w:r>
      <w:r w:rsidR="004E5D6B" w:rsidRPr="002371B0">
        <w:rPr>
          <w:b/>
        </w:rPr>
        <w:t>, ils font souvent les frais des disputes diplomatiques et guerres franco-espagnoles.</w:t>
      </w:r>
      <w:r w:rsidR="003D10A0">
        <w:t xml:space="preserve"> </w:t>
      </w:r>
      <w:r w:rsidR="002371B0">
        <w:t>Exemple e</w:t>
      </w:r>
      <w:r w:rsidR="003D10A0">
        <w:t>n 1657</w:t>
      </w:r>
      <w:r w:rsidR="002371B0">
        <w:t>  avec  « </w:t>
      </w:r>
      <w:r w:rsidR="002371B0" w:rsidRPr="002371B0">
        <w:rPr>
          <w:i/>
        </w:rPr>
        <w:t xml:space="preserve">une proclamation royale </w:t>
      </w:r>
      <w:r w:rsidR="002371B0" w:rsidRPr="002371B0">
        <w:t>[qui]</w:t>
      </w:r>
      <w:r w:rsidR="002371B0">
        <w:rPr>
          <w:i/>
        </w:rPr>
        <w:t xml:space="preserve"> </w:t>
      </w:r>
      <w:r w:rsidR="002371B0" w:rsidRPr="002371B0">
        <w:rPr>
          <w:i/>
        </w:rPr>
        <w:t>interdit aux colporteurs français d’aller par les rues, de porte en porte, pour vendre leur camelote et acheter des galons d’or et d’argent</w:t>
      </w:r>
      <w:r w:rsidR="002371B0">
        <w:t xml:space="preserve"> ». Proclamation sur laquelle les autorités revinrent en 1680. On compte aussi de nombreuses impositions </w:t>
      </w:r>
      <w:r w:rsidR="00D7093F">
        <w:t xml:space="preserve">exceptionnelles </w:t>
      </w:r>
      <w:r w:rsidR="002371B0">
        <w:t>et confiscations de biens</w:t>
      </w:r>
      <w:r w:rsidR="00D7093F">
        <w:t>. En 1677, en pleine guerre de Hollande (1672-78), une décision  royale interdit aux Français, exception faîte des domestiques</w:t>
      </w:r>
      <w:r w:rsidR="009363A2">
        <w:t>,</w:t>
      </w:r>
      <w:r w:rsidR="00D7093F">
        <w:t xml:space="preserve"> de résider dans les ports, considérés comme des positions-clés.</w:t>
      </w:r>
      <w:r w:rsidR="002371B0">
        <w:t xml:space="preserve"> </w:t>
      </w:r>
      <w:r w:rsidR="009363A2">
        <w:t xml:space="preserve">Bien sûr, la </w:t>
      </w:r>
      <w:r w:rsidR="007F596B">
        <w:t>R</w:t>
      </w:r>
      <w:r w:rsidR="009363A2">
        <w:t>évolution et l’occupation du pays par les troupes napoléoniennes  ne firent qu’aggraver la suspicion, la haine et la gallophobie de la majorité des Espagnols</w:t>
      </w:r>
      <w:r w:rsidR="007F596B">
        <w:t> : en 1791, à Cadix, 232 chefs de ménage français doivent opter entre la qualité d’</w:t>
      </w:r>
      <w:proofErr w:type="spellStart"/>
      <w:r w:rsidR="007F596B" w:rsidRPr="007F596B">
        <w:rPr>
          <w:i/>
        </w:rPr>
        <w:t>avecindados</w:t>
      </w:r>
      <w:proofErr w:type="spellEnd"/>
      <w:r w:rsidR="007F596B">
        <w:t xml:space="preserve"> (= sujet du roi d’Espagne, assimilés aux naturels du pays) et </w:t>
      </w:r>
      <w:proofErr w:type="spellStart"/>
      <w:r w:rsidR="007F596B" w:rsidRPr="007F596B">
        <w:rPr>
          <w:i/>
        </w:rPr>
        <w:t>transeuntes</w:t>
      </w:r>
      <w:proofErr w:type="spellEnd"/>
      <w:r w:rsidR="007F596B">
        <w:t xml:space="preserve"> (= qui obéit aux lois du pays mais n’est pas sujet du Roi et ne pouvant exercer aucun  commerce de détail). 55 refusent le serment d’allégeance et rentrent en France.</w:t>
      </w:r>
      <w:r w:rsidR="009363A2">
        <w:t xml:space="preserve"> </w:t>
      </w:r>
    </w:p>
    <w:p w:rsidR="00DB3C6B" w:rsidRDefault="00A71B72" w:rsidP="00E76C16">
      <w:pPr>
        <w:jc w:val="both"/>
      </w:pPr>
      <w:r>
        <w:tab/>
      </w:r>
      <w:r w:rsidR="009363A2">
        <w:t xml:space="preserve">Au XIX°, la présence et l’influence françaises déclinent. Les Espagnols  reconquièrent une certaine indépendance économique avant de se refermer  sur eux-mêmes </w:t>
      </w:r>
      <w:r w:rsidR="007F596B">
        <w:t xml:space="preserve"> tandis que notre pays se métamorphose </w:t>
      </w:r>
      <w:r>
        <w:t xml:space="preserve">et se </w:t>
      </w:r>
      <w:r w:rsidR="007F596B">
        <w:t xml:space="preserve">développe </w:t>
      </w:r>
      <w:r>
        <w:t>avec l’épanouissement de la révolution industrielle.</w:t>
      </w:r>
    </w:p>
    <w:p w:rsidR="00A71B72" w:rsidRDefault="00A71B72" w:rsidP="00A71B72">
      <w:pPr>
        <w:jc w:val="center"/>
        <w:rPr>
          <w:b/>
        </w:rPr>
      </w:pPr>
      <w:r w:rsidRPr="00A71B72">
        <w:rPr>
          <w:b/>
        </w:rPr>
        <w:t>…………………………</w:t>
      </w:r>
    </w:p>
    <w:p w:rsidR="00A71B72" w:rsidRPr="00E7674F" w:rsidRDefault="00E7674F" w:rsidP="00E7674F">
      <w:pPr>
        <w:jc w:val="both"/>
      </w:pPr>
      <w:r>
        <w:tab/>
      </w:r>
      <w:r w:rsidRPr="00E7674F">
        <w:t xml:space="preserve">A </w:t>
      </w:r>
      <w:r>
        <w:t xml:space="preserve">plus de </w:t>
      </w:r>
      <w:r w:rsidRPr="00E7674F">
        <w:t>deux siècles d’intervalle,</w:t>
      </w:r>
      <w:r>
        <w:t xml:space="preserve"> on constate donc que l’émigration  répond  </w:t>
      </w:r>
      <w:r w:rsidR="00165CE5">
        <w:t xml:space="preserve">à un déséquilibre économique et social  ou à la recherche de la sécurité, </w:t>
      </w:r>
      <w:r>
        <w:t xml:space="preserve">et </w:t>
      </w:r>
      <w:r w:rsidR="00165CE5">
        <w:t xml:space="preserve">qu’elle engendre </w:t>
      </w:r>
      <w:r>
        <w:t xml:space="preserve"> </w:t>
      </w:r>
      <w:r w:rsidR="00165CE5">
        <w:t xml:space="preserve">une </w:t>
      </w:r>
      <w:r>
        <w:t xml:space="preserve"> même problématique</w:t>
      </w:r>
      <w:r w:rsidR="00165CE5">
        <w:t xml:space="preserve"> : </w:t>
      </w:r>
      <w:r w:rsidR="00397E81">
        <w:t>c</w:t>
      </w:r>
      <w:r w:rsidR="00165CE5">
        <w:t>elle de son exploitation à des fins politiques.</w:t>
      </w:r>
    </w:p>
    <w:sectPr w:rsidR="00A71B72" w:rsidRPr="00E7674F" w:rsidSect="001022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4F" w:rsidRDefault="00E7674F" w:rsidP="0007086E">
      <w:pPr>
        <w:spacing w:after="0" w:line="240" w:lineRule="auto"/>
      </w:pPr>
      <w:r>
        <w:separator/>
      </w:r>
    </w:p>
  </w:endnote>
  <w:endnote w:type="continuationSeparator" w:id="0">
    <w:p w:rsidR="00E7674F" w:rsidRDefault="00E7674F" w:rsidP="000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75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7674F" w:rsidRDefault="00E7674F">
            <w:pPr>
              <w:pStyle w:val="Pieddepage"/>
              <w:jc w:val="right"/>
            </w:pPr>
            <w:r>
              <w:t xml:space="preserve">Page </w:t>
            </w:r>
            <w:r w:rsidR="002B0F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0F79">
              <w:rPr>
                <w:b/>
                <w:sz w:val="24"/>
                <w:szCs w:val="24"/>
              </w:rPr>
              <w:fldChar w:fldCharType="separate"/>
            </w:r>
            <w:r w:rsidR="0042533A">
              <w:rPr>
                <w:b/>
                <w:noProof/>
              </w:rPr>
              <w:t>5</w:t>
            </w:r>
            <w:r w:rsidR="002B0F79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B0F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0F79">
              <w:rPr>
                <w:b/>
                <w:sz w:val="24"/>
                <w:szCs w:val="24"/>
              </w:rPr>
              <w:fldChar w:fldCharType="separate"/>
            </w:r>
            <w:r w:rsidR="0042533A">
              <w:rPr>
                <w:b/>
                <w:noProof/>
              </w:rPr>
              <w:t>5</w:t>
            </w:r>
            <w:r w:rsidR="002B0F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674F" w:rsidRDefault="00E767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4F" w:rsidRDefault="00E7674F" w:rsidP="0007086E">
      <w:pPr>
        <w:spacing w:after="0" w:line="240" w:lineRule="auto"/>
      </w:pPr>
      <w:r>
        <w:separator/>
      </w:r>
    </w:p>
  </w:footnote>
  <w:footnote w:type="continuationSeparator" w:id="0">
    <w:p w:rsidR="00E7674F" w:rsidRDefault="00E7674F" w:rsidP="0007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2785"/>
    <w:rsid w:val="000455D2"/>
    <w:rsid w:val="00067B1C"/>
    <w:rsid w:val="0007086E"/>
    <w:rsid w:val="000C2F91"/>
    <w:rsid w:val="000C3CC4"/>
    <w:rsid w:val="000D1927"/>
    <w:rsid w:val="0010229C"/>
    <w:rsid w:val="00165CE5"/>
    <w:rsid w:val="002371B0"/>
    <w:rsid w:val="002B0F79"/>
    <w:rsid w:val="002D276A"/>
    <w:rsid w:val="00397E81"/>
    <w:rsid w:val="003D10A0"/>
    <w:rsid w:val="0042533A"/>
    <w:rsid w:val="004E5D6B"/>
    <w:rsid w:val="005D07E1"/>
    <w:rsid w:val="006076F4"/>
    <w:rsid w:val="00646761"/>
    <w:rsid w:val="006A6D18"/>
    <w:rsid w:val="0070424C"/>
    <w:rsid w:val="00713F8F"/>
    <w:rsid w:val="00732F78"/>
    <w:rsid w:val="007531D9"/>
    <w:rsid w:val="007E461D"/>
    <w:rsid w:val="007F596B"/>
    <w:rsid w:val="00873737"/>
    <w:rsid w:val="00925928"/>
    <w:rsid w:val="009363A2"/>
    <w:rsid w:val="00945B74"/>
    <w:rsid w:val="009B5CF1"/>
    <w:rsid w:val="00A22849"/>
    <w:rsid w:val="00A36EEA"/>
    <w:rsid w:val="00A36F8F"/>
    <w:rsid w:val="00A624CE"/>
    <w:rsid w:val="00A71B72"/>
    <w:rsid w:val="00B65A3E"/>
    <w:rsid w:val="00D22785"/>
    <w:rsid w:val="00D33D59"/>
    <w:rsid w:val="00D61D9F"/>
    <w:rsid w:val="00D7093F"/>
    <w:rsid w:val="00DB3C6B"/>
    <w:rsid w:val="00E23FA5"/>
    <w:rsid w:val="00E25EB4"/>
    <w:rsid w:val="00E7674F"/>
    <w:rsid w:val="00E76C16"/>
    <w:rsid w:val="00EE4BF6"/>
    <w:rsid w:val="00FB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8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086E"/>
  </w:style>
  <w:style w:type="paragraph" w:styleId="Pieddepage">
    <w:name w:val="footer"/>
    <w:basedOn w:val="Normal"/>
    <w:link w:val="PieddepageCar"/>
    <w:uiPriority w:val="99"/>
    <w:unhideWhenUsed/>
    <w:rsid w:val="0007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86E"/>
  </w:style>
  <w:style w:type="character" w:styleId="Lienhypertexte">
    <w:name w:val="Hyperlink"/>
    <w:basedOn w:val="Policepardfaut"/>
    <w:uiPriority w:val="99"/>
    <w:unhideWhenUsed/>
    <w:rsid w:val="00067B1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06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ternaute.com/histoire/reconquista/1052/a/1/1/2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larousse.fr/encyclopedie/divers/la_compagnie_de_Chinch%C3%B3n/18067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2015-03-19T15:22:00Z</dcterms:created>
  <dcterms:modified xsi:type="dcterms:W3CDTF">2015-03-19T15:22:00Z</dcterms:modified>
</cp:coreProperties>
</file>